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E556" w14:textId="004DD85A" w:rsidR="00AA4BC7" w:rsidRDefault="5BC7186F" w:rsidP="00AA4BC7">
      <w:r>
        <w:t xml:space="preserve">February </w:t>
      </w:r>
      <w:r w:rsidR="00AA4BC7">
        <w:t>2023</w:t>
      </w:r>
    </w:p>
    <w:p w14:paraId="107BDDD3" w14:textId="77777777" w:rsidR="00AA4BC7" w:rsidRDefault="00AA4BC7" w:rsidP="00AA4BC7">
      <w:pPr>
        <w:rPr>
          <w:b/>
          <w:bCs/>
        </w:rPr>
      </w:pPr>
    </w:p>
    <w:p w14:paraId="7AF9A95C" w14:textId="3D7529EE" w:rsidR="00AA4BC7" w:rsidRDefault="00AA4BC7" w:rsidP="00AA4BC7">
      <w:pPr>
        <w:jc w:val="center"/>
      </w:pPr>
      <w:r>
        <w:rPr>
          <w:b/>
          <w:bCs/>
        </w:rPr>
        <w:t xml:space="preserve">Submission on the </w:t>
      </w:r>
      <w:r w:rsidRPr="00AA4BC7">
        <w:rPr>
          <w:b/>
          <w:bCs/>
        </w:rPr>
        <w:t>Sale and Supply of Alcohol (Community Participation) Amendment Bill</w:t>
      </w:r>
    </w:p>
    <w:p w14:paraId="56E33A16" w14:textId="77F2C21C" w:rsidR="00AA4BC7" w:rsidRDefault="00AA4BC7" w:rsidP="00AA4BC7">
      <w:pPr>
        <w:spacing w:before="120" w:after="120"/>
      </w:pPr>
      <w:r>
        <w:t>To the Justice Committee,</w:t>
      </w:r>
    </w:p>
    <w:p w14:paraId="66384E02" w14:textId="6654B2B0" w:rsidR="00AA4BC7" w:rsidRDefault="00AA4BC7" w:rsidP="00AA4BC7">
      <w:pPr>
        <w:spacing w:before="120" w:after="120"/>
      </w:pPr>
      <w:r>
        <w:t xml:space="preserve">Te Hiringa Mahara, the Mental </w:t>
      </w:r>
      <w:proofErr w:type="gramStart"/>
      <w:r>
        <w:t>Health</w:t>
      </w:r>
      <w:proofErr w:type="gramEnd"/>
      <w:r>
        <w:t xml:space="preserve"> and Wellbeing Commission, welcomes the opportunity to make a submission on the </w:t>
      </w:r>
      <w:r w:rsidRPr="00AA4BC7">
        <w:t>Sale and Supply of Alcohol (Community Participation) Amendment Bill</w:t>
      </w:r>
      <w:r>
        <w:t xml:space="preserve">. </w:t>
      </w:r>
    </w:p>
    <w:p w14:paraId="5D3F0310" w14:textId="6D7D984A" w:rsidR="002B7680" w:rsidRDefault="00866FF4" w:rsidP="00866FF4">
      <w:pPr>
        <w:spacing w:before="120" w:after="120"/>
      </w:pPr>
      <w:r>
        <w:t xml:space="preserve">Te Hiringa Mahara was established following the </w:t>
      </w:r>
      <w:r w:rsidRPr="0BCAADDE">
        <w:rPr>
          <w:i/>
          <w:iCs/>
        </w:rPr>
        <w:t xml:space="preserve">He Ara </w:t>
      </w:r>
      <w:proofErr w:type="gramStart"/>
      <w:r w:rsidRPr="0BCAADDE">
        <w:rPr>
          <w:i/>
          <w:iCs/>
        </w:rPr>
        <w:t>Oranga :</w:t>
      </w:r>
      <w:proofErr w:type="gramEnd"/>
      <w:r w:rsidRPr="0BCAADDE">
        <w:rPr>
          <w:i/>
          <w:iCs/>
        </w:rPr>
        <w:t xml:space="preserve"> Report of the Government Inquiry into Mental Health and Addiction</w:t>
      </w:r>
      <w:r>
        <w:t xml:space="preserve">. We </w:t>
      </w:r>
      <w:r w:rsidR="005D43B2">
        <w:t>are an independent Crown entity, with</w:t>
      </w:r>
      <w:r>
        <w:t xml:space="preserve"> a legislated role to</w:t>
      </w:r>
      <w:r w:rsidR="00E517C4">
        <w:t xml:space="preserve"> assess, report, and make</w:t>
      </w:r>
      <w:r w:rsidR="0073593B">
        <w:t xml:space="preserve"> recommendations on the mental health and wellbeing of people in New Zealand, and the factors and approaches that affect them. We also have a legislated role to a</w:t>
      </w:r>
      <w:r w:rsidR="002B7680">
        <w:t>dvocate for the collective interests of people who experience mental distress or addiction (or both), and the persons (including family and whānau) who support them.</w:t>
      </w:r>
      <w:r w:rsidR="0038434E">
        <w:t xml:space="preserve"> </w:t>
      </w:r>
      <w:r w:rsidR="005D43B2">
        <w:t xml:space="preserve">These roles and this advocacy </w:t>
      </w:r>
      <w:r w:rsidR="008C03D1">
        <w:t>underpin our submission on this Bill.</w:t>
      </w:r>
    </w:p>
    <w:p w14:paraId="191591C6" w14:textId="7E647A6D" w:rsidR="00AA4BC7" w:rsidRDefault="00AA4BC7" w:rsidP="00AA4BC7">
      <w:pPr>
        <w:spacing w:before="120" w:after="120"/>
      </w:pPr>
      <w:r>
        <w:t>This submission stands alone, and so Te Hiringa Mahara does not seek to appear before the committee to speak to it. However, if the Committee wants further clarification on any of the points that follow, we would be happy to advise in writing or in person.</w:t>
      </w:r>
    </w:p>
    <w:p w14:paraId="6B8613BF" w14:textId="78819B56" w:rsidR="00AA4BC7" w:rsidRDefault="00604463" w:rsidP="00AA4BC7">
      <w:r>
        <w:rPr>
          <w:b/>
          <w:bCs/>
        </w:rPr>
        <w:t>Our position</w:t>
      </w:r>
    </w:p>
    <w:p w14:paraId="6598E857" w14:textId="3081A008" w:rsidR="002A05DD" w:rsidRDefault="00866FF4" w:rsidP="002A05DD">
      <w:r>
        <w:t xml:space="preserve">Te Hiringa Mahara supports the intent of the Sale and Supply of Alcohol (Community Participation) Amendment Bill. </w:t>
      </w:r>
      <w:r w:rsidR="002A05DD">
        <w:t xml:space="preserve"> </w:t>
      </w:r>
    </w:p>
    <w:p w14:paraId="148D1EC4" w14:textId="5045B69F" w:rsidR="00604463" w:rsidRDefault="00604463" w:rsidP="00563AD3">
      <w:r>
        <w:t xml:space="preserve">However, </w:t>
      </w:r>
      <w:r w:rsidR="005C0D1C">
        <w:t xml:space="preserve">as </w:t>
      </w:r>
      <w:r w:rsidR="00097FE1">
        <w:t xml:space="preserve">there are barriers to engaging in the licensing process and </w:t>
      </w:r>
      <w:r w:rsidR="005C0D1C">
        <w:t xml:space="preserve">very few licensing applications reach hearings, for a variety of reasons as discussed below, more should be done to proactively engage </w:t>
      </w:r>
      <w:r w:rsidR="007C5D31">
        <w:t>the public</w:t>
      </w:r>
      <w:r w:rsidR="005C0D1C">
        <w:t xml:space="preserve"> and provide</w:t>
      </w:r>
      <w:r w:rsidR="00AF218A">
        <w:t xml:space="preserve"> the opportunity to improve the wellbeing of their communities.</w:t>
      </w:r>
    </w:p>
    <w:p w14:paraId="4F86278B" w14:textId="3BC40436" w:rsidR="00604463" w:rsidRPr="00604463" w:rsidRDefault="00D54067" w:rsidP="00471E8F">
      <w:pPr>
        <w:rPr>
          <w:b/>
          <w:bCs/>
        </w:rPr>
      </w:pPr>
      <w:r>
        <w:rPr>
          <w:b/>
          <w:bCs/>
        </w:rPr>
        <w:t xml:space="preserve">We support the </w:t>
      </w:r>
      <w:proofErr w:type="gramStart"/>
      <w:r>
        <w:rPr>
          <w:b/>
          <w:bCs/>
        </w:rPr>
        <w:t>Bill, because</w:t>
      </w:r>
      <w:proofErr w:type="gramEnd"/>
      <w:r>
        <w:rPr>
          <w:b/>
          <w:bCs/>
        </w:rPr>
        <w:t xml:space="preserve"> it can be expected to reduce harm and improve wellbeing.</w:t>
      </w:r>
    </w:p>
    <w:p w14:paraId="6C86C4C3" w14:textId="502C8FF3" w:rsidR="00471E8F" w:rsidRDefault="00471E8F" w:rsidP="0BCAADDE">
      <w:r>
        <w:t>In 2018</w:t>
      </w:r>
      <w:r w:rsidR="23DFAED8">
        <w:t>,</w:t>
      </w:r>
      <w:r>
        <w:t xml:space="preserve"> economists at Business and Economic Research (BERL) estimated harmful alcohol use cost New Zealand $7.85 billion annually. The 2010 Law Commission report </w:t>
      </w:r>
      <w:r w:rsidRPr="0BCAADDE">
        <w:rPr>
          <w:i/>
          <w:iCs/>
        </w:rPr>
        <w:t>Alcohol in Our Lives: Curbing the Harm</w:t>
      </w:r>
      <w:r>
        <w:t xml:space="preserve"> and the World Health Organisation’s </w:t>
      </w:r>
      <w:r w:rsidRPr="0BCAADDE">
        <w:rPr>
          <w:i/>
          <w:iCs/>
        </w:rPr>
        <w:t>SAFER Framework for Preventing and Reducing Alcohol Related Harms</w:t>
      </w:r>
      <w:r>
        <w:t xml:space="preserve"> both agree stricter regulation of alcohol is necessary to prevent and reduce harm</w:t>
      </w:r>
      <w:r w:rsidR="00044ACC">
        <w:t xml:space="preserve">. This is </w:t>
      </w:r>
      <w:r w:rsidR="00342158">
        <w:t xml:space="preserve">identified as </w:t>
      </w:r>
      <w:r w:rsidR="00044ACC">
        <w:t xml:space="preserve">particularly important for </w:t>
      </w:r>
      <w:r>
        <w:t>Māori</w:t>
      </w:r>
      <w:r w:rsidR="00C32A2B">
        <w:t xml:space="preserve"> </w:t>
      </w:r>
      <w:r w:rsidR="399BCCCF" w:rsidRPr="0BCAADDE">
        <w:rPr>
          <w:rFonts w:eastAsia="Basic Sans Light" w:cs="Basic Sans Light"/>
        </w:rPr>
        <w:t>and groups facing adversity or exclusion</w:t>
      </w:r>
      <w:r>
        <w:t xml:space="preserve">. The most cost-effective measures to prevent and reduce alcohol harm are reducing the availability, </w:t>
      </w:r>
      <w:proofErr w:type="gramStart"/>
      <w:r>
        <w:t>affordability</w:t>
      </w:r>
      <w:proofErr w:type="gramEnd"/>
      <w:r>
        <w:t xml:space="preserve"> and promotion of alcohol, as was done with tobacco. </w:t>
      </w:r>
    </w:p>
    <w:p w14:paraId="628FE9ED" w14:textId="47060C02" w:rsidR="00423E2C" w:rsidRDefault="00423E2C" w:rsidP="00595215">
      <w:r>
        <w:t>The changes proposed by the Bill are aimed at reducing alcohol</w:t>
      </w:r>
      <w:r w:rsidR="6AA02C24">
        <w:t>-</w:t>
      </w:r>
      <w:r>
        <w:t xml:space="preserve">related harm and improving wellbeing.  This is </w:t>
      </w:r>
      <w:r w:rsidR="666251CC">
        <w:t xml:space="preserve">in </w:t>
      </w:r>
      <w:r>
        <w:t>line with</w:t>
      </w:r>
      <w:r w:rsidR="3F401BC8">
        <w:t xml:space="preserve"> our</w:t>
      </w:r>
      <w:r>
        <w:t xml:space="preserve"> commitment to addressing the wider determinants of mental health and wellbeing. The changes are also in line with Recommendation 26 of </w:t>
      </w:r>
      <w:r w:rsidRPr="36684672">
        <w:rPr>
          <w:i/>
          <w:iCs/>
        </w:rPr>
        <w:t>He Ara Oranga, the Government Inquiry into Mental Health and Addiction</w:t>
      </w:r>
      <w:r>
        <w:t>, to take a stricter regulatory approach to the sale and supply of alcohol.</w:t>
      </w:r>
    </w:p>
    <w:p w14:paraId="3ED8D17F" w14:textId="39D1AE1E" w:rsidR="00075660" w:rsidRDefault="00075660" w:rsidP="00075660">
      <w:r>
        <w:t>Improving the opportunity for members of communities to have their concerns recognised through alcohol licencing processes can be expected to reduce the availability of alcohol for communities</w:t>
      </w:r>
      <w:r w:rsidR="09A167B4">
        <w:t xml:space="preserve"> who are most likely to be impacted by alcohol harm</w:t>
      </w:r>
      <w:r>
        <w:t xml:space="preserve"> – particularly localities </w:t>
      </w:r>
      <w:r>
        <w:lastRenderedPageBreak/>
        <w:t xml:space="preserve">made more vulnerable due to deprivation and the proliferation of alcohol outlets. There will also be less-tangible wellbeing benefits, </w:t>
      </w:r>
      <w:r w:rsidR="11919529">
        <w:t xml:space="preserve">from </w:t>
      </w:r>
      <w:r>
        <w:t>supporting communities to determine their own pathways, and to shape their environments through these processes and local alcohol policies.</w:t>
      </w:r>
    </w:p>
    <w:p w14:paraId="1C76E619" w14:textId="77777777" w:rsidR="00927E9C" w:rsidRPr="00927E9C" w:rsidRDefault="00927E9C" w:rsidP="00595215">
      <w:pPr>
        <w:rPr>
          <w:b/>
          <w:bCs/>
        </w:rPr>
      </w:pPr>
      <w:r w:rsidRPr="00927E9C">
        <w:rPr>
          <w:b/>
          <w:bCs/>
        </w:rPr>
        <w:t>However, more work is needed</w:t>
      </w:r>
    </w:p>
    <w:p w14:paraId="037B63BC" w14:textId="1A507A77" w:rsidR="00595215" w:rsidRDefault="00AA4BC7" w:rsidP="00595215">
      <w:r>
        <w:t xml:space="preserve">In the Government’s response to </w:t>
      </w:r>
      <w:r w:rsidR="00E922BF" w:rsidRPr="00DE65D8">
        <w:rPr>
          <w:i/>
          <w:iCs/>
        </w:rPr>
        <w:t>He Ara Oranga, the Government Inquiry into Mental Health and Addiction</w:t>
      </w:r>
      <w:r>
        <w:t xml:space="preserve">, it was noted that Government agrees with the intent of reducing harm from alcohol and other drugs. </w:t>
      </w:r>
      <w:r w:rsidR="00C4326C">
        <w:t>A</w:t>
      </w:r>
      <w:r>
        <w:t>t the time</w:t>
      </w:r>
      <w:r w:rsidR="00C4326C">
        <w:t>,</w:t>
      </w:r>
      <w:r>
        <w:t xml:space="preserve"> further consideration was needed as how best to give effect to this, building on work underway. This Bill provides a good </w:t>
      </w:r>
      <w:r w:rsidR="00B62FD9">
        <w:t>step to build on that work</w:t>
      </w:r>
      <w:r w:rsidR="00595215">
        <w:t xml:space="preserve">. However, as stated in the Treasury’s </w:t>
      </w:r>
      <w:r w:rsidR="00595215" w:rsidRPr="00CC6CAA">
        <w:rPr>
          <w:i/>
          <w:iCs/>
        </w:rPr>
        <w:t>Supplementary Analysis Report</w:t>
      </w:r>
      <w:r w:rsidR="00595215">
        <w:rPr>
          <w:rStyle w:val="FootnoteReference"/>
        </w:rPr>
        <w:footnoteReference w:id="2"/>
      </w:r>
      <w:r w:rsidR="00595215">
        <w:t xml:space="preserve"> the Bill’s “targeted changes” focus only on who can object to licence applications; how licensing hearings are run; and the ability to adopt and apply local alcohol policies (LAPs).</w:t>
      </w:r>
    </w:p>
    <w:p w14:paraId="3828473A" w14:textId="1FEACBB9" w:rsidR="00B62FD9" w:rsidRPr="00FF425B" w:rsidRDefault="00866FF4" w:rsidP="001750F5">
      <w:r>
        <w:t>We recognise that further work to reduce the affordability</w:t>
      </w:r>
      <w:r w:rsidR="00E922BF">
        <w:t>, availability,</w:t>
      </w:r>
      <w:r>
        <w:t xml:space="preserve"> and promotion of alcohol is underway or planned, </w:t>
      </w:r>
      <w:r w:rsidR="00B020D8">
        <w:t>including</w:t>
      </w:r>
      <w:r w:rsidR="001750F5">
        <w:t xml:space="preserve"> undertaking policy work looking at broader and more systematic reform of the Act. This work would complement and expand the proposals here</w:t>
      </w:r>
      <w:r w:rsidR="00F42F60">
        <w:t>. We</w:t>
      </w:r>
      <w:r>
        <w:t xml:space="preserve"> will watch these developments with interest.</w:t>
      </w:r>
    </w:p>
    <w:p w14:paraId="073A65A9" w14:textId="67A8E2A2" w:rsidR="00FF425B" w:rsidRPr="00866FF4" w:rsidRDefault="00927E9C">
      <w:pPr>
        <w:rPr>
          <w:b/>
          <w:bCs/>
        </w:rPr>
      </w:pPr>
      <w:r>
        <w:rPr>
          <w:b/>
          <w:bCs/>
        </w:rPr>
        <w:t>The Committee should act to s</w:t>
      </w:r>
      <w:r w:rsidR="00866FF4">
        <w:rPr>
          <w:b/>
          <w:bCs/>
        </w:rPr>
        <w:t>trengthen the Bill</w:t>
      </w:r>
      <w:r w:rsidR="004433BA">
        <w:rPr>
          <w:b/>
          <w:bCs/>
        </w:rPr>
        <w:t xml:space="preserve"> before it is passed</w:t>
      </w:r>
    </w:p>
    <w:p w14:paraId="2A4848F7" w14:textId="0623652E" w:rsidR="00FF425B" w:rsidRDefault="00866FF4">
      <w:r>
        <w:t>While we support the Bill overall, it appears to present a m</w:t>
      </w:r>
      <w:r w:rsidR="00FF425B">
        <w:t>issed opportunity to better uphold Te Tiriti</w:t>
      </w:r>
      <w:r>
        <w:t xml:space="preserve"> o Waitangi</w:t>
      </w:r>
      <w:r w:rsidR="00F579CF">
        <w:t xml:space="preserve"> and proactively engage communities,</w:t>
      </w:r>
      <w:r>
        <w:t xml:space="preserve"> and the Committee should seek to strengthen this in its report to the House.</w:t>
      </w:r>
    </w:p>
    <w:p w14:paraId="1B513F35" w14:textId="7E4F1591" w:rsidR="00D53651" w:rsidRDefault="00977F4D" w:rsidP="00866FF4">
      <w:r>
        <w:t xml:space="preserve">As outlined in the </w:t>
      </w:r>
      <w:r w:rsidR="00D53651">
        <w:t xml:space="preserve">Supplementary Analysis Report, only a very small fraction of applications for licences are refused. Over the last five years: </w:t>
      </w:r>
    </w:p>
    <w:p w14:paraId="72FD0F34" w14:textId="765608D0" w:rsidR="00D53651" w:rsidRDefault="00D53651" w:rsidP="00D53651">
      <w:pPr>
        <w:pStyle w:val="ListParagraph"/>
        <w:numPr>
          <w:ilvl w:val="0"/>
          <w:numId w:val="3"/>
        </w:numPr>
      </w:pPr>
      <w:r>
        <w:t xml:space="preserve">Auckland has granted 5704 new licences and declined 10, </w:t>
      </w:r>
    </w:p>
    <w:p w14:paraId="54CBF8BE" w14:textId="6B06DAD0" w:rsidR="00D53651" w:rsidRDefault="00D53651" w:rsidP="00D53651">
      <w:pPr>
        <w:pStyle w:val="ListParagraph"/>
        <w:numPr>
          <w:ilvl w:val="0"/>
          <w:numId w:val="3"/>
        </w:numPr>
      </w:pPr>
      <w:r>
        <w:t xml:space="preserve">Wellington has granted 431 new licences and declined 5, </w:t>
      </w:r>
    </w:p>
    <w:p w14:paraId="4DDF6EDA" w14:textId="41984BD1" w:rsidR="00D53651" w:rsidRDefault="00D53651" w:rsidP="00D53651">
      <w:pPr>
        <w:pStyle w:val="ListParagraph"/>
        <w:numPr>
          <w:ilvl w:val="0"/>
          <w:numId w:val="3"/>
        </w:numPr>
      </w:pPr>
      <w:r>
        <w:t xml:space="preserve">Christchurch has granted 663 new licences and declined 7, </w:t>
      </w:r>
    </w:p>
    <w:p w14:paraId="6990A8FA" w14:textId="6BDD719B" w:rsidR="00D53651" w:rsidRDefault="00D53651" w:rsidP="00D53651">
      <w:pPr>
        <w:pStyle w:val="ListParagraph"/>
        <w:numPr>
          <w:ilvl w:val="0"/>
          <w:numId w:val="3"/>
        </w:numPr>
      </w:pPr>
      <w:r>
        <w:t xml:space="preserve">Invercargill has granted 54 new licences and declined 0, and </w:t>
      </w:r>
    </w:p>
    <w:p w14:paraId="07652EF5" w14:textId="52F40C90" w:rsidR="00977F4D" w:rsidRDefault="00D53651" w:rsidP="00D53651">
      <w:pPr>
        <w:pStyle w:val="ListParagraph"/>
        <w:numPr>
          <w:ilvl w:val="0"/>
          <w:numId w:val="3"/>
        </w:numPr>
      </w:pPr>
      <w:r>
        <w:t>Porirua has granted 78 new licences and declined 1</w:t>
      </w:r>
    </w:p>
    <w:p w14:paraId="5EE84F0E" w14:textId="122A9A11" w:rsidR="00866FF4" w:rsidRDefault="00866FF4" w:rsidP="00866FF4">
      <w:r>
        <w:t xml:space="preserve">As the Committee may be aware, </w:t>
      </w:r>
      <w:r w:rsidR="005F3F22">
        <w:t>the report prepared for Te Whatu Ora</w:t>
      </w:r>
      <w:r w:rsidR="005F3F22">
        <w:rPr>
          <w:rStyle w:val="FootnoteReference"/>
        </w:rPr>
        <w:footnoteReference w:id="3"/>
      </w:r>
      <w:r w:rsidR="005F3F22">
        <w:t xml:space="preserve"> </w:t>
      </w:r>
      <w:r>
        <w:t xml:space="preserve">showed that </w:t>
      </w:r>
      <w:r w:rsidR="00F579CF">
        <w:t xml:space="preserve">negative impacts of </w:t>
      </w:r>
      <w:r>
        <w:t xml:space="preserve">off-licence outlets </w:t>
      </w:r>
      <w:r w:rsidR="00F579CF">
        <w:t>were</w:t>
      </w:r>
      <w:r>
        <w:t xml:space="preserve"> not </w:t>
      </w:r>
      <w:proofErr w:type="gramStart"/>
      <w:r>
        <w:t>taken into account</w:t>
      </w:r>
      <w:proofErr w:type="gramEnd"/>
      <w:r>
        <w:t xml:space="preserve"> in alcohol licensing decisions for the following reasons</w:t>
      </w:r>
      <w:r w:rsidR="008F2BAB">
        <w:t xml:space="preserve"> (p.52)</w:t>
      </w:r>
      <w:r>
        <w:t xml:space="preserve">: </w:t>
      </w:r>
    </w:p>
    <w:p w14:paraId="31D84401" w14:textId="77777777" w:rsidR="00866FF4" w:rsidRDefault="00866FF4" w:rsidP="00866FF4">
      <w:pPr>
        <w:pStyle w:val="ListParagraph"/>
        <w:numPr>
          <w:ilvl w:val="0"/>
          <w:numId w:val="3"/>
        </w:numPr>
      </w:pPr>
      <w:r>
        <w:t xml:space="preserve">a lack of mandate in the Act or processes for appropriate engagement with </w:t>
      </w:r>
      <w:proofErr w:type="gramStart"/>
      <w:r>
        <w:t>Māori;</w:t>
      </w:r>
      <w:proofErr w:type="gramEnd"/>
      <w:r>
        <w:t xml:space="preserve"> </w:t>
      </w:r>
    </w:p>
    <w:p w14:paraId="65C940D2" w14:textId="77777777" w:rsidR="00866FF4" w:rsidRDefault="00866FF4" w:rsidP="00866FF4">
      <w:pPr>
        <w:pStyle w:val="ListParagraph"/>
        <w:numPr>
          <w:ilvl w:val="0"/>
          <w:numId w:val="3"/>
        </w:numPr>
      </w:pPr>
      <w:r>
        <w:t xml:space="preserve">low participation due to inadequate notification and support for residents who wish to </w:t>
      </w:r>
      <w:proofErr w:type="gramStart"/>
      <w:r>
        <w:t>object;</w:t>
      </w:r>
      <w:proofErr w:type="gramEnd"/>
      <w:r>
        <w:t xml:space="preserve"> </w:t>
      </w:r>
    </w:p>
    <w:p w14:paraId="4EC5C036" w14:textId="77777777" w:rsidR="00866FF4" w:rsidRDefault="00866FF4" w:rsidP="00866FF4">
      <w:pPr>
        <w:pStyle w:val="ListParagraph"/>
        <w:numPr>
          <w:ilvl w:val="0"/>
          <w:numId w:val="3"/>
        </w:numPr>
      </w:pPr>
      <w:r>
        <w:t xml:space="preserve">complex evidence standards that lay people struggle to understand and </w:t>
      </w:r>
      <w:proofErr w:type="gramStart"/>
      <w:r>
        <w:t>meet;</w:t>
      </w:r>
      <w:proofErr w:type="gramEnd"/>
      <w:r>
        <w:t xml:space="preserve"> </w:t>
      </w:r>
    </w:p>
    <w:p w14:paraId="247B3313" w14:textId="77777777" w:rsidR="00866FF4" w:rsidRDefault="00866FF4" w:rsidP="00866FF4">
      <w:pPr>
        <w:pStyle w:val="ListParagraph"/>
        <w:numPr>
          <w:ilvl w:val="0"/>
          <w:numId w:val="3"/>
        </w:numPr>
      </w:pPr>
      <w:r>
        <w:t xml:space="preserve">the higher standard applied to community evidence when reporting agency data is lacking; and, </w:t>
      </w:r>
    </w:p>
    <w:p w14:paraId="0631283C" w14:textId="136BAA91" w:rsidR="00866FF4" w:rsidRDefault="00866FF4" w:rsidP="00866FF4">
      <w:pPr>
        <w:pStyle w:val="ListParagraph"/>
        <w:numPr>
          <w:ilvl w:val="0"/>
          <w:numId w:val="3"/>
        </w:numPr>
      </w:pPr>
      <w:r>
        <w:t xml:space="preserve">gaps in the information held or provided by reporting agencies. </w:t>
      </w:r>
    </w:p>
    <w:p w14:paraId="731371F5" w14:textId="0A6DF484" w:rsidR="00866FF4" w:rsidRDefault="00866FF4" w:rsidP="00866FF4">
      <w:r>
        <w:lastRenderedPageBreak/>
        <w:t>Th</w:t>
      </w:r>
      <w:r w:rsidR="636F5552">
        <w:t>is</w:t>
      </w:r>
      <w:r>
        <w:t xml:space="preserve"> Bill seek</w:t>
      </w:r>
      <w:r w:rsidR="63D6DA95">
        <w:t>s</w:t>
      </w:r>
      <w:r>
        <w:t xml:space="preserve"> to address, to varying degrees, </w:t>
      </w:r>
      <w:r w:rsidR="00F579CF">
        <w:t>the latter three points, but would be strengthened if it also addressed the first two.</w:t>
      </w:r>
    </w:p>
    <w:p w14:paraId="7A0C3342" w14:textId="509AB71D" w:rsidR="00FF425B" w:rsidRDefault="00F579CF" w:rsidP="00FF425B">
      <w:r>
        <w:t>That same</w:t>
      </w:r>
      <w:r w:rsidR="002E74B0">
        <w:t xml:space="preserve"> Te Whatu Ora</w:t>
      </w:r>
      <w:r>
        <w:t xml:space="preserve"> report found that “t</w:t>
      </w:r>
      <w:r w:rsidR="00FF425B">
        <w:t>here was little evidence of proactively facilitating engagement with Māori in licensing</w:t>
      </w:r>
      <w:r w:rsidR="00866FF4">
        <w:t xml:space="preserve"> </w:t>
      </w:r>
      <w:r w:rsidR="00FF425B">
        <w:t>decisions, as appropriate to Crown obligations under Te Tiriti o Waitangi, the Treaty of</w:t>
      </w:r>
      <w:r w:rsidR="00866FF4">
        <w:t xml:space="preserve"> </w:t>
      </w:r>
      <w:proofErr w:type="gramStart"/>
      <w:r w:rsidR="00FF425B">
        <w:t>Waitangi</w:t>
      </w:r>
      <w:proofErr w:type="gramEnd"/>
      <w:r w:rsidR="00FF425B">
        <w:t xml:space="preserve"> and the Local Government Act 2002.</w:t>
      </w:r>
      <w:r w:rsidR="00866FF4">
        <w:t xml:space="preserve"> </w:t>
      </w:r>
      <w:r w:rsidR="00FF425B">
        <w:t xml:space="preserve">The processes used for notifying licence applications </w:t>
      </w:r>
      <w:r w:rsidR="005F3F22">
        <w:t>[meant] most</w:t>
      </w:r>
      <w:r w:rsidR="00FF425B">
        <w:t xml:space="preserve"> residents interviewed</w:t>
      </w:r>
      <w:r w:rsidR="00866FF4">
        <w:t xml:space="preserve"> </w:t>
      </w:r>
      <w:r w:rsidR="00FF425B">
        <w:t>(83%) were unaware of the application yet a majority would have objected had they known.</w:t>
      </w:r>
      <w:r>
        <w:t>”</w:t>
      </w:r>
    </w:p>
    <w:p w14:paraId="296A80B4" w14:textId="58AA50E0" w:rsidR="005F3F22" w:rsidRDefault="005A4772" w:rsidP="00FF425B">
      <w:r>
        <w:t>While</w:t>
      </w:r>
      <w:r w:rsidR="007E662B">
        <w:t xml:space="preserve"> having</w:t>
      </w:r>
      <w:r>
        <w:t xml:space="preserve"> Māori representation in </w:t>
      </w:r>
      <w:r w:rsidRPr="005A4772">
        <w:t>district licensing committees</w:t>
      </w:r>
      <w:r>
        <w:t xml:space="preserve"> may be a</w:t>
      </w:r>
      <w:r w:rsidR="005F3F22">
        <w:t>n even</w:t>
      </w:r>
      <w:r>
        <w:t xml:space="preserve"> better reflection of Treaty partnership, th</w:t>
      </w:r>
      <w:r w:rsidR="005F3F22">
        <w:t>is</w:t>
      </w:r>
      <w:r>
        <w:t xml:space="preserve"> amendment Bill provides a good opportunity to address the points above, by amending section 101 of the Principal Act. Applicants for a licence currently have 20 days to g</w:t>
      </w:r>
      <w:r w:rsidRPr="005A4772">
        <w:t xml:space="preserve">ive </w:t>
      </w:r>
      <w:r w:rsidR="005F3F22">
        <w:t>‘</w:t>
      </w:r>
      <w:r w:rsidRPr="005A4772">
        <w:t>public notice</w:t>
      </w:r>
      <w:r w:rsidR="005F3F22">
        <w:t>’</w:t>
      </w:r>
      <w:r w:rsidRPr="005A4772">
        <w:t xml:space="preserve"> of the application</w:t>
      </w:r>
      <w:r>
        <w:t xml:space="preserve">, under that section of the Act. Interested parties then have 15 days to make any objections. </w:t>
      </w:r>
    </w:p>
    <w:p w14:paraId="10F08E68" w14:textId="622A0915" w:rsidR="005A4772" w:rsidRPr="00FF425B" w:rsidRDefault="005F3F22" w:rsidP="00FF425B">
      <w:r>
        <w:t>Given the need to gather evidence and support, and the limited engagement with traditional ‘public notices’ (</w:t>
      </w:r>
      <w:proofErr w:type="spellStart"/>
      <w:r>
        <w:t>ie</w:t>
      </w:r>
      <w:proofErr w:type="spellEnd"/>
      <w:r>
        <w:t xml:space="preserve"> entries in the back of local newspapers), and g</w:t>
      </w:r>
      <w:r w:rsidR="005A4772">
        <w:t xml:space="preserve">iven the findings above, section 101 of the </w:t>
      </w:r>
      <w:r w:rsidR="00B334F5">
        <w:t xml:space="preserve">Principal </w:t>
      </w:r>
      <w:r w:rsidR="005A4772">
        <w:t>Act should be amended to require proactive notification or engagement with relevant groups, including mana whenua.</w:t>
      </w:r>
      <w:r w:rsidR="00A92679">
        <w:t xml:space="preserve"> This may be in the form of identifying groups </w:t>
      </w:r>
      <w:r w:rsidR="2691D865">
        <w:t xml:space="preserve">who must </w:t>
      </w:r>
      <w:r w:rsidR="00A92679">
        <w:t>be notified</w:t>
      </w:r>
      <w:r w:rsidR="437E730E">
        <w:t xml:space="preserve"> directly</w:t>
      </w:r>
      <w:r w:rsidR="00435A21">
        <w:t xml:space="preserve">, </w:t>
      </w:r>
      <w:r w:rsidR="1EF8F541">
        <w:t xml:space="preserve">letterbox leaflets or similar in nearby communities, </w:t>
      </w:r>
      <w:r w:rsidR="00435A21">
        <w:t>and/or</w:t>
      </w:r>
      <w:r w:rsidR="00A92679">
        <w:t xml:space="preserve"> online notifications </w:t>
      </w:r>
      <w:r w:rsidR="00435A21">
        <w:t xml:space="preserve">on Ministry of Justice and </w:t>
      </w:r>
      <w:r w:rsidR="00A92679">
        <w:t xml:space="preserve">Council </w:t>
      </w:r>
      <w:r w:rsidR="00033D1F">
        <w:t>web</w:t>
      </w:r>
      <w:r w:rsidR="00A92679">
        <w:t>sites</w:t>
      </w:r>
      <w:r w:rsidR="00033D1F">
        <w:t xml:space="preserve"> or social media pages</w:t>
      </w:r>
      <w:r w:rsidR="00435A21">
        <w:t>.</w:t>
      </w:r>
    </w:p>
    <w:p w14:paraId="3B18A18F" w14:textId="65BB980E" w:rsidR="38461880" w:rsidRDefault="38461880" w:rsidP="0C38FBD6">
      <w:pPr>
        <w:rPr>
          <w:b/>
          <w:bCs/>
        </w:rPr>
      </w:pPr>
      <w:r w:rsidRPr="0C38FBD6">
        <w:rPr>
          <w:b/>
          <w:bCs/>
        </w:rPr>
        <w:t>In summary</w:t>
      </w:r>
    </w:p>
    <w:p w14:paraId="6989CCDA" w14:textId="59802AF1" w:rsidR="38461880" w:rsidRDefault="38461880" w:rsidP="0C38FBD6">
      <w:r w:rsidRPr="0C38FBD6">
        <w:t>Te Hiringa Mahara:</w:t>
      </w:r>
    </w:p>
    <w:p w14:paraId="714184AE" w14:textId="39A50658" w:rsidR="38461880" w:rsidRDefault="38461880" w:rsidP="0C38FBD6">
      <w:pPr>
        <w:pStyle w:val="ListParagraph"/>
        <w:numPr>
          <w:ilvl w:val="0"/>
          <w:numId w:val="3"/>
        </w:numPr>
        <w:rPr>
          <w:rFonts w:eastAsia="Basic Sans Light" w:cs="Basic Sans Light"/>
        </w:rPr>
      </w:pPr>
      <w:r w:rsidRPr="0C38FBD6">
        <w:rPr>
          <w:rFonts w:eastAsia="Basic Sans Light" w:cs="Basic Sans Light"/>
        </w:rPr>
        <w:t>Supports</w:t>
      </w:r>
      <w:r w:rsidR="1B19C0C2" w:rsidRPr="0C38FBD6">
        <w:rPr>
          <w:rFonts w:eastAsia="Basic Sans Light" w:cs="Basic Sans Light"/>
        </w:rPr>
        <w:t xml:space="preserve"> the changes proposed by the Bill, as </w:t>
      </w:r>
      <w:r w:rsidR="18638B25" w:rsidRPr="0C38FBD6">
        <w:rPr>
          <w:rFonts w:eastAsia="Basic Sans Light" w:cs="Basic Sans Light"/>
        </w:rPr>
        <w:t>they</w:t>
      </w:r>
      <w:r w:rsidR="1B19C0C2" w:rsidRPr="0C38FBD6">
        <w:rPr>
          <w:rFonts w:eastAsia="Basic Sans Light" w:cs="Basic Sans Light"/>
        </w:rPr>
        <w:t xml:space="preserve"> can be expected to reduce alcohol related harm and improving wellbeing.  </w:t>
      </w:r>
    </w:p>
    <w:p w14:paraId="6B4087EE" w14:textId="3F257E1C" w:rsidR="7A6C335A" w:rsidRDefault="7A6C335A" w:rsidP="0C38FBD6">
      <w:pPr>
        <w:pStyle w:val="ListParagraph"/>
        <w:numPr>
          <w:ilvl w:val="0"/>
          <w:numId w:val="3"/>
        </w:numPr>
      </w:pPr>
      <w:r>
        <w:t>Supports the Bill’s effort to improve</w:t>
      </w:r>
      <w:r w:rsidR="1B19C0C2">
        <w:t xml:space="preserve"> the opportunity for members of communities to have their concerns recognised</w:t>
      </w:r>
      <w:r w:rsidR="59BEA5F3">
        <w:t xml:space="preserve">, as it can be expected to contribute to more equitable wellbeing outcomes. </w:t>
      </w:r>
    </w:p>
    <w:p w14:paraId="51E98B93" w14:textId="016116B9" w:rsidR="38461880" w:rsidRDefault="38461880" w:rsidP="0C38FBD6">
      <w:pPr>
        <w:pStyle w:val="ListParagraph"/>
        <w:numPr>
          <w:ilvl w:val="0"/>
          <w:numId w:val="3"/>
        </w:numPr>
        <w:rPr>
          <w:rFonts w:eastAsia="Basic Sans Light" w:cs="Basic Sans Light"/>
        </w:rPr>
      </w:pPr>
      <w:r w:rsidRPr="0C38FBD6">
        <w:rPr>
          <w:rFonts w:eastAsia="Basic Sans Light" w:cs="Basic Sans Light"/>
        </w:rPr>
        <w:t>Suggests the</w:t>
      </w:r>
      <w:r w:rsidR="3911188C" w:rsidRPr="0C38FBD6">
        <w:rPr>
          <w:rFonts w:eastAsia="Basic Sans Light" w:cs="Basic Sans Light"/>
        </w:rPr>
        <w:t xml:space="preserve"> Bill be</w:t>
      </w:r>
      <w:r w:rsidRPr="0C38FBD6">
        <w:rPr>
          <w:rFonts w:eastAsia="Basic Sans Light" w:cs="Basic Sans Light"/>
        </w:rPr>
        <w:t xml:space="preserve"> strengthen</w:t>
      </w:r>
      <w:r w:rsidR="152792C4" w:rsidRPr="0C38FBD6">
        <w:rPr>
          <w:rFonts w:eastAsia="Basic Sans Light" w:cs="Basic Sans Light"/>
        </w:rPr>
        <w:t>ed, making engagement with communities more proactive, in order to better address inequities and uphold the Crown’s obligations under te Tiriti o Waitangi.</w:t>
      </w:r>
    </w:p>
    <w:p w14:paraId="18CDDB43" w14:textId="593190FC" w:rsidR="0C38FBD6" w:rsidRDefault="0C38FBD6" w:rsidP="0C38FBD6"/>
    <w:sectPr w:rsidR="0C38FBD6" w:rsidSect="00FD2CA9">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0B21" w14:textId="77777777" w:rsidR="0060164B" w:rsidRDefault="0060164B" w:rsidP="005F3F22">
      <w:pPr>
        <w:spacing w:after="0" w:line="240" w:lineRule="auto"/>
      </w:pPr>
      <w:r>
        <w:separator/>
      </w:r>
    </w:p>
  </w:endnote>
  <w:endnote w:type="continuationSeparator" w:id="0">
    <w:p w14:paraId="631B3A09" w14:textId="77777777" w:rsidR="0060164B" w:rsidRDefault="0060164B" w:rsidP="005F3F22">
      <w:pPr>
        <w:spacing w:after="0" w:line="240" w:lineRule="auto"/>
      </w:pPr>
      <w:r>
        <w:continuationSeparator/>
      </w:r>
    </w:p>
  </w:endnote>
  <w:endnote w:type="continuationNotice" w:id="1">
    <w:p w14:paraId="3E0911CC" w14:textId="77777777" w:rsidR="0060164B" w:rsidRDefault="00601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asic 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85041"/>
      <w:docPartObj>
        <w:docPartGallery w:val="Page Numbers (Bottom of Page)"/>
        <w:docPartUnique/>
      </w:docPartObj>
    </w:sdtPr>
    <w:sdtEndPr>
      <w:rPr>
        <w:noProof/>
      </w:rPr>
    </w:sdtEndPr>
    <w:sdtContent>
      <w:p w14:paraId="31576987" w14:textId="1F25852B" w:rsidR="00FD2CA9" w:rsidRDefault="006B610C" w:rsidP="006B6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03ED" w14:textId="77777777" w:rsidR="006F1B90" w:rsidRPr="006B610C" w:rsidRDefault="006F1B90" w:rsidP="006F1B90">
    <w:pPr>
      <w:pStyle w:val="Footer"/>
      <w:jc w:val="center"/>
      <w:rPr>
        <w:rFonts w:cs="Arial"/>
        <w:sz w:val="20"/>
        <w:szCs w:val="18"/>
        <w:lang w:val="mi-NZ"/>
      </w:rPr>
    </w:pPr>
  </w:p>
  <w:p w14:paraId="630F34D5" w14:textId="30B775E8" w:rsidR="006F1B90" w:rsidRPr="006B610C" w:rsidRDefault="006F1B90" w:rsidP="006F1B90">
    <w:pPr>
      <w:pStyle w:val="Footer"/>
      <w:jc w:val="center"/>
      <w:rPr>
        <w:rFonts w:cs="Arial"/>
        <w:sz w:val="20"/>
        <w:szCs w:val="18"/>
        <w:lang w:val="mi-NZ"/>
      </w:rPr>
    </w:pPr>
    <w:r w:rsidRPr="006B610C">
      <w:rPr>
        <w:rFonts w:cs="Arial"/>
        <w:sz w:val="20"/>
        <w:szCs w:val="18"/>
        <w:lang w:val="mi-NZ"/>
      </w:rPr>
      <w:t>Tū tangata mauri ora |</w:t>
    </w:r>
    <w:r w:rsidRPr="006B610C">
      <w:rPr>
        <w:rFonts w:cs="Arial"/>
        <w:color w:val="0DB1CA" w:themeColor="accent5"/>
        <w:sz w:val="20"/>
        <w:szCs w:val="18"/>
        <w:lang w:val="mi-NZ"/>
      </w:rPr>
      <w:t xml:space="preserve"> </w:t>
    </w:r>
    <w:r w:rsidRPr="006B610C">
      <w:rPr>
        <w:rFonts w:cs="Arial"/>
        <w:sz w:val="20"/>
        <w:szCs w:val="18"/>
        <w:lang w:val="mi-NZ"/>
      </w:rPr>
      <w:t>Thriving together</w:t>
    </w:r>
  </w:p>
  <w:p w14:paraId="596AA9BE" w14:textId="77777777" w:rsidR="006F1B90" w:rsidRPr="006B610C" w:rsidRDefault="006F1B90" w:rsidP="006F1B90">
    <w:pPr>
      <w:spacing w:after="0"/>
      <w:jc w:val="center"/>
      <w:rPr>
        <w:rFonts w:cs="Arial"/>
        <w:sz w:val="20"/>
        <w:szCs w:val="18"/>
        <w:lang w:val="mi-NZ"/>
      </w:rPr>
    </w:pPr>
    <w:r w:rsidRPr="006B610C">
      <w:rPr>
        <w:rFonts w:cs="Arial"/>
        <w:sz w:val="20"/>
        <w:szCs w:val="18"/>
        <w:lang w:val="mi-NZ"/>
      </w:rPr>
      <w:t xml:space="preserve">Te Hiringa Mahara </w:t>
    </w:r>
    <w:r w:rsidRPr="006B610C">
      <w:rPr>
        <w:rFonts w:cs="Arial"/>
        <w:color w:val="000000" w:themeColor="text1"/>
        <w:sz w:val="20"/>
        <w:szCs w:val="18"/>
        <w:lang w:val="mi-NZ"/>
      </w:rPr>
      <w:t xml:space="preserve">| </w:t>
    </w:r>
    <w:r w:rsidRPr="006B610C">
      <w:rPr>
        <w:rFonts w:cs="Arial"/>
        <w:sz w:val="20"/>
        <w:szCs w:val="18"/>
        <w:lang w:val="mi-NZ"/>
      </w:rPr>
      <w:t>DX Box SP22502, Wellington, Aotearoa New Zealand</w:t>
    </w:r>
  </w:p>
  <w:p w14:paraId="6BFEBA1C" w14:textId="77777777" w:rsidR="006F1B90" w:rsidRPr="006B610C" w:rsidRDefault="006F1B90" w:rsidP="006F1B90">
    <w:pPr>
      <w:spacing w:after="0"/>
      <w:jc w:val="center"/>
      <w:rPr>
        <w:rFonts w:cs="Arial"/>
        <w:sz w:val="20"/>
        <w:szCs w:val="18"/>
        <w:lang w:val="mi-NZ"/>
      </w:rPr>
    </w:pPr>
    <w:r w:rsidRPr="006B610C">
      <w:rPr>
        <w:rFonts w:cs="Arial"/>
        <w:color w:val="005E85" w:themeColor="accent1"/>
        <w:sz w:val="20"/>
        <w:szCs w:val="18"/>
        <w:lang w:val="mi-NZ"/>
      </w:rPr>
      <w:t>web</w:t>
    </w:r>
    <w:r w:rsidRPr="006B610C">
      <w:rPr>
        <w:rFonts w:cs="Arial"/>
        <w:sz w:val="20"/>
        <w:szCs w:val="18"/>
        <w:lang w:val="mi-NZ"/>
      </w:rPr>
      <w:t xml:space="preserve"> www.mhwc.govt.nz </w:t>
    </w:r>
    <w:r w:rsidRPr="006B610C">
      <w:rPr>
        <w:rFonts w:cs="Arial"/>
        <w:color w:val="000000" w:themeColor="text1"/>
        <w:sz w:val="20"/>
        <w:szCs w:val="18"/>
        <w:lang w:val="mi-NZ"/>
      </w:rPr>
      <w:t>|</w:t>
    </w:r>
    <w:r w:rsidRPr="006B610C">
      <w:rPr>
        <w:rFonts w:cs="Arial"/>
        <w:color w:val="005E85" w:themeColor="accent1"/>
        <w:sz w:val="20"/>
        <w:szCs w:val="18"/>
        <w:lang w:val="mi-NZ"/>
      </w:rPr>
      <w:t xml:space="preserve"> email </w:t>
    </w:r>
    <w:r w:rsidRPr="006B610C">
      <w:rPr>
        <w:rFonts w:cs="Arial"/>
        <w:sz w:val="20"/>
        <w:szCs w:val="18"/>
        <w:lang w:val="mi-NZ"/>
      </w:rPr>
      <w:t>kiaora@mhwc.govt.nz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DE59" w14:textId="77777777" w:rsidR="0060164B" w:rsidRDefault="0060164B" w:rsidP="005F3F22">
      <w:pPr>
        <w:spacing w:after="0" w:line="240" w:lineRule="auto"/>
      </w:pPr>
      <w:r>
        <w:separator/>
      </w:r>
    </w:p>
  </w:footnote>
  <w:footnote w:type="continuationSeparator" w:id="0">
    <w:p w14:paraId="1E98ECA1" w14:textId="77777777" w:rsidR="0060164B" w:rsidRDefault="0060164B" w:rsidP="005F3F22">
      <w:pPr>
        <w:spacing w:after="0" w:line="240" w:lineRule="auto"/>
      </w:pPr>
      <w:r>
        <w:continuationSeparator/>
      </w:r>
    </w:p>
  </w:footnote>
  <w:footnote w:type="continuationNotice" w:id="1">
    <w:p w14:paraId="724844D6" w14:textId="77777777" w:rsidR="0060164B" w:rsidRDefault="0060164B">
      <w:pPr>
        <w:spacing w:after="0" w:line="240" w:lineRule="auto"/>
      </w:pPr>
    </w:p>
  </w:footnote>
  <w:footnote w:id="2">
    <w:p w14:paraId="3915A99E" w14:textId="77777777" w:rsidR="00595215" w:rsidRPr="000B240D" w:rsidRDefault="00595215" w:rsidP="00595215">
      <w:pPr>
        <w:pStyle w:val="FootnoteText"/>
        <w:rPr>
          <w:lang w:val="mi-NZ"/>
        </w:rPr>
      </w:pPr>
      <w:r>
        <w:rPr>
          <w:rStyle w:val="FootnoteReference"/>
        </w:rPr>
        <w:footnoteRef/>
      </w:r>
      <w:r>
        <w:t xml:space="preserve"> </w:t>
      </w:r>
      <w:r w:rsidRPr="000B240D">
        <w:t>https://www.treasury.govt.nz/sites/default/files/2022-12/ria-justice-ssaab-nov22.pdf</w:t>
      </w:r>
    </w:p>
  </w:footnote>
  <w:footnote w:id="3">
    <w:p w14:paraId="1EF124EA" w14:textId="77777777" w:rsidR="005F3F22" w:rsidRDefault="005F3F22" w:rsidP="005F3F22">
      <w:pPr>
        <w:pStyle w:val="FootnoteText"/>
      </w:pPr>
      <w:r>
        <w:rPr>
          <w:rStyle w:val="FootnoteReference"/>
        </w:rPr>
        <w:footnoteRef/>
      </w:r>
      <w:r>
        <w:t xml:space="preserve"> Randerson, S., Gordon, L., Casswell, S., Lin, J., </w:t>
      </w:r>
      <w:proofErr w:type="spellStart"/>
      <w:r>
        <w:t>Borell</w:t>
      </w:r>
      <w:proofErr w:type="spellEnd"/>
      <w:r>
        <w:t xml:space="preserve">, B., </w:t>
      </w:r>
      <w:proofErr w:type="spellStart"/>
      <w:r>
        <w:t>Rychert</w:t>
      </w:r>
      <w:proofErr w:type="spellEnd"/>
      <w:r>
        <w:t>, M., &amp; Huckle, T.</w:t>
      </w:r>
    </w:p>
    <w:p w14:paraId="2421F2C9" w14:textId="77777777" w:rsidR="005F3F22" w:rsidRDefault="005F3F22" w:rsidP="005F3F22">
      <w:pPr>
        <w:pStyle w:val="FootnoteText"/>
      </w:pPr>
      <w:r>
        <w:t>(2022) “I feel it’s unsafe to walk”: Impacts of alcohol supply on public space in eight</w:t>
      </w:r>
    </w:p>
    <w:p w14:paraId="7C2972C8" w14:textId="544A41DB" w:rsidR="005F3F22" w:rsidRPr="005F3F22" w:rsidRDefault="005F3F22" w:rsidP="005F3F22">
      <w:pPr>
        <w:pStyle w:val="FootnoteText"/>
        <w:rPr>
          <w:lang w:val="mi-NZ"/>
        </w:rPr>
      </w:pPr>
      <w:r>
        <w:t xml:space="preserve">neighbourhoods, and residents’ input to alcohol licensing decisions. Wellington: Te Whatu 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8F30" w14:textId="3F63E6F9" w:rsidR="00FD2CA9" w:rsidRDefault="00FD2CA9">
    <w:pPr>
      <w:pStyle w:val="Header"/>
    </w:pPr>
    <w:r>
      <w:rPr>
        <w:noProof/>
      </w:rPr>
      <w:drawing>
        <wp:anchor distT="0" distB="0" distL="114300" distR="114300" simplePos="0" relativeHeight="251658240" behindDoc="0" locked="0" layoutInCell="1" allowOverlap="1" wp14:anchorId="76A0AC14" wp14:editId="7B992AED">
          <wp:simplePos x="0" y="0"/>
          <wp:positionH relativeFrom="column">
            <wp:posOffset>4781550</wp:posOffset>
          </wp:positionH>
          <wp:positionV relativeFrom="paragraph">
            <wp:posOffset>-391160</wp:posOffset>
          </wp:positionV>
          <wp:extent cx="1799590" cy="80962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81C"/>
    <w:multiLevelType w:val="hybridMultilevel"/>
    <w:tmpl w:val="C8B6A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B454B0"/>
    <w:multiLevelType w:val="multilevel"/>
    <w:tmpl w:val="C4A0E4A8"/>
    <w:lvl w:ilvl="0">
      <w:start w:val="1"/>
      <w:numFmt w:val="decimal"/>
      <w:lvlText w:val="%1."/>
      <w:lvlJc w:val="left"/>
      <w:pPr>
        <w:ind w:left="-354" w:hanging="360"/>
      </w:pPr>
      <w:rPr>
        <w:rFonts w:ascii="Basic Sans Light" w:hAnsi="Basic Sans Light" w:hint="default"/>
        <w:b w:val="0"/>
        <w:bCs/>
        <w:i w:val="0"/>
        <w:iCs w:val="0"/>
      </w:rPr>
    </w:lvl>
    <w:lvl w:ilvl="1">
      <w:start w:val="1"/>
      <w:numFmt w:val="decimal"/>
      <w:lvlText w:val="%2."/>
      <w:lvlJc w:val="left"/>
      <w:pPr>
        <w:ind w:left="366" w:hanging="360"/>
      </w:pPr>
      <w:rPr>
        <w:b w:val="0"/>
        <w:bCs w:val="0"/>
        <w:color w:val="000000" w:themeColor="text1"/>
        <w:sz w:val="24"/>
        <w:szCs w:val="24"/>
      </w:rPr>
    </w:lvl>
    <w:lvl w:ilvl="2">
      <w:start w:val="1"/>
      <w:numFmt w:val="lowerRoman"/>
      <w:lvlText w:val="%3)"/>
      <w:lvlJc w:val="right"/>
      <w:pPr>
        <w:ind w:left="1086" w:hanging="180"/>
      </w:pPr>
      <w:rPr>
        <w:rFonts w:hint="default"/>
      </w:r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2" w15:restartNumberingAfterBreak="0">
    <w:nsid w:val="396A5572"/>
    <w:multiLevelType w:val="hybridMultilevel"/>
    <w:tmpl w:val="C48482CC"/>
    <w:lvl w:ilvl="0" w:tplc="C0342AB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CD0023E"/>
    <w:multiLevelType w:val="hybridMultilevel"/>
    <w:tmpl w:val="6D8E4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43684846">
    <w:abstractNumId w:val="1"/>
  </w:num>
  <w:num w:numId="2" w16cid:durableId="2133665452">
    <w:abstractNumId w:val="3"/>
  </w:num>
  <w:num w:numId="3" w16cid:durableId="1859847504">
    <w:abstractNumId w:val="0"/>
  </w:num>
  <w:num w:numId="4" w16cid:durableId="38321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EA"/>
    <w:rsid w:val="00033D1F"/>
    <w:rsid w:val="00044ACC"/>
    <w:rsid w:val="00075660"/>
    <w:rsid w:val="00097FE1"/>
    <w:rsid w:val="000B240D"/>
    <w:rsid w:val="000E299B"/>
    <w:rsid w:val="00130957"/>
    <w:rsid w:val="001750F5"/>
    <w:rsid w:val="001D1330"/>
    <w:rsid w:val="002202E3"/>
    <w:rsid w:val="00252C0E"/>
    <w:rsid w:val="002852B2"/>
    <w:rsid w:val="002A05DD"/>
    <w:rsid w:val="002A1E60"/>
    <w:rsid w:val="002B7680"/>
    <w:rsid w:val="002D5699"/>
    <w:rsid w:val="002E74B0"/>
    <w:rsid w:val="00342158"/>
    <w:rsid w:val="00383C9F"/>
    <w:rsid w:val="0038434E"/>
    <w:rsid w:val="00423E2C"/>
    <w:rsid w:val="00435A21"/>
    <w:rsid w:val="004433BA"/>
    <w:rsid w:val="00457A66"/>
    <w:rsid w:val="00471E8F"/>
    <w:rsid w:val="004A502E"/>
    <w:rsid w:val="00563AD3"/>
    <w:rsid w:val="00595215"/>
    <w:rsid w:val="005970A0"/>
    <w:rsid w:val="005A1CE3"/>
    <w:rsid w:val="005A3C06"/>
    <w:rsid w:val="005A4772"/>
    <w:rsid w:val="005C0D1C"/>
    <w:rsid w:val="005D43B2"/>
    <w:rsid w:val="005F3F22"/>
    <w:rsid w:val="0060164B"/>
    <w:rsid w:val="00604463"/>
    <w:rsid w:val="006979DE"/>
    <w:rsid w:val="006B610C"/>
    <w:rsid w:val="006C301B"/>
    <w:rsid w:val="006F1B90"/>
    <w:rsid w:val="0073593B"/>
    <w:rsid w:val="007756E8"/>
    <w:rsid w:val="007839FF"/>
    <w:rsid w:val="007C5D31"/>
    <w:rsid w:val="007E662B"/>
    <w:rsid w:val="00801626"/>
    <w:rsid w:val="008136B9"/>
    <w:rsid w:val="00866FF4"/>
    <w:rsid w:val="008C03D1"/>
    <w:rsid w:val="008F2BAB"/>
    <w:rsid w:val="00923A3E"/>
    <w:rsid w:val="00927E9C"/>
    <w:rsid w:val="009648E2"/>
    <w:rsid w:val="009701A0"/>
    <w:rsid w:val="00977F4D"/>
    <w:rsid w:val="009C00EA"/>
    <w:rsid w:val="00A11298"/>
    <w:rsid w:val="00A92679"/>
    <w:rsid w:val="00AA4BC7"/>
    <w:rsid w:val="00AF218A"/>
    <w:rsid w:val="00B020D8"/>
    <w:rsid w:val="00B334F5"/>
    <w:rsid w:val="00B62FD9"/>
    <w:rsid w:val="00C32A2B"/>
    <w:rsid w:val="00C4326C"/>
    <w:rsid w:val="00C45A93"/>
    <w:rsid w:val="00C94DF8"/>
    <w:rsid w:val="00CC6CAA"/>
    <w:rsid w:val="00CF25B5"/>
    <w:rsid w:val="00D53651"/>
    <w:rsid w:val="00D54067"/>
    <w:rsid w:val="00D67B16"/>
    <w:rsid w:val="00D712E2"/>
    <w:rsid w:val="00DA2F5F"/>
    <w:rsid w:val="00DE65D8"/>
    <w:rsid w:val="00E262E2"/>
    <w:rsid w:val="00E517C4"/>
    <w:rsid w:val="00E922BF"/>
    <w:rsid w:val="00E9575A"/>
    <w:rsid w:val="00ED579B"/>
    <w:rsid w:val="00F42F60"/>
    <w:rsid w:val="00F579CF"/>
    <w:rsid w:val="00FD2CA9"/>
    <w:rsid w:val="00FF425B"/>
    <w:rsid w:val="030A7DBF"/>
    <w:rsid w:val="09A167B4"/>
    <w:rsid w:val="0BCAADDE"/>
    <w:rsid w:val="0C38FBD6"/>
    <w:rsid w:val="0F48159B"/>
    <w:rsid w:val="0FAFB8E3"/>
    <w:rsid w:val="11919529"/>
    <w:rsid w:val="152792C4"/>
    <w:rsid w:val="18638B25"/>
    <w:rsid w:val="1B19C0C2"/>
    <w:rsid w:val="1B815854"/>
    <w:rsid w:val="1E05FA75"/>
    <w:rsid w:val="1EF8F541"/>
    <w:rsid w:val="216A38CA"/>
    <w:rsid w:val="238EAEDD"/>
    <w:rsid w:val="23DFAED8"/>
    <w:rsid w:val="2691D865"/>
    <w:rsid w:val="2DF0C305"/>
    <w:rsid w:val="36684672"/>
    <w:rsid w:val="371829B5"/>
    <w:rsid w:val="38461880"/>
    <w:rsid w:val="3911188C"/>
    <w:rsid w:val="399BCCCF"/>
    <w:rsid w:val="3C013B3A"/>
    <w:rsid w:val="3C94CBFF"/>
    <w:rsid w:val="3F401BC8"/>
    <w:rsid w:val="437E730E"/>
    <w:rsid w:val="52AC76F3"/>
    <w:rsid w:val="53BC068A"/>
    <w:rsid w:val="54336D75"/>
    <w:rsid w:val="5557D6EB"/>
    <w:rsid w:val="56F3A74C"/>
    <w:rsid w:val="588F77AD"/>
    <w:rsid w:val="59BEA5F3"/>
    <w:rsid w:val="5A2B480E"/>
    <w:rsid w:val="5BC7186F"/>
    <w:rsid w:val="6072DEEC"/>
    <w:rsid w:val="636F5552"/>
    <w:rsid w:val="63D6DA95"/>
    <w:rsid w:val="666251CC"/>
    <w:rsid w:val="6AA02C24"/>
    <w:rsid w:val="6FCC5BF6"/>
    <w:rsid w:val="77B5FDBD"/>
    <w:rsid w:val="7A6C335A"/>
    <w:rsid w:val="7B21AEB6"/>
    <w:rsid w:val="7E39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98226"/>
  <w15:chartTrackingRefBased/>
  <w15:docId w15:val="{777406B9-F585-4024-B943-CF9953CA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2E"/>
    <w:rPr>
      <w:rFonts w:ascii="Basic Sans Light" w:hAnsi="Basic Sans Light"/>
    </w:rPr>
  </w:style>
  <w:style w:type="paragraph" w:styleId="Heading1">
    <w:name w:val="heading 1"/>
    <w:basedOn w:val="Normal"/>
    <w:next w:val="Normal"/>
    <w:link w:val="Heading1Char"/>
    <w:uiPriority w:val="9"/>
    <w:qFormat/>
    <w:rsid w:val="004A502E"/>
    <w:pPr>
      <w:keepNext/>
      <w:keepLines/>
      <w:spacing w:before="240" w:after="0"/>
      <w:outlineLvl w:val="0"/>
    </w:pPr>
    <w:rPr>
      <w:rFonts w:ascii="Basic Sans" w:eastAsiaTheme="majorEastAsia" w:hAnsi="Basic Sans" w:cstheme="majorBidi"/>
      <w:color w:val="004663" w:themeColor="accent1" w:themeShade="BF"/>
      <w:sz w:val="32"/>
      <w:szCs w:val="32"/>
    </w:rPr>
  </w:style>
  <w:style w:type="paragraph" w:styleId="Heading2">
    <w:name w:val="heading 2"/>
    <w:basedOn w:val="Normal"/>
    <w:next w:val="Normal"/>
    <w:link w:val="Heading2Char"/>
    <w:uiPriority w:val="9"/>
    <w:semiHidden/>
    <w:unhideWhenUsed/>
    <w:qFormat/>
    <w:rsid w:val="004A502E"/>
    <w:pPr>
      <w:keepNext/>
      <w:keepLines/>
      <w:spacing w:before="40" w:after="0"/>
      <w:outlineLvl w:val="1"/>
    </w:pPr>
    <w:rPr>
      <w:rFonts w:ascii="Basic Sans" w:eastAsiaTheme="majorEastAsia" w:hAnsi="Basic Sans" w:cstheme="majorBidi"/>
      <w:color w:val="004663" w:themeColor="accent1" w:themeShade="BF"/>
      <w:sz w:val="26"/>
      <w:szCs w:val="26"/>
    </w:rPr>
  </w:style>
  <w:style w:type="paragraph" w:styleId="Heading5">
    <w:name w:val="heading 5"/>
    <w:basedOn w:val="Normal"/>
    <w:link w:val="Heading5Char"/>
    <w:uiPriority w:val="9"/>
    <w:qFormat/>
    <w:rsid w:val="002B7680"/>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02E"/>
    <w:rPr>
      <w:rFonts w:ascii="Basic Sans" w:eastAsiaTheme="majorEastAsia" w:hAnsi="Basic Sans" w:cstheme="majorBidi"/>
      <w:color w:val="004663" w:themeColor="accent1" w:themeShade="BF"/>
      <w:sz w:val="32"/>
      <w:szCs w:val="32"/>
    </w:rPr>
  </w:style>
  <w:style w:type="character" w:customStyle="1" w:styleId="Heading2Char">
    <w:name w:val="Heading 2 Char"/>
    <w:basedOn w:val="DefaultParagraphFont"/>
    <w:link w:val="Heading2"/>
    <w:uiPriority w:val="9"/>
    <w:semiHidden/>
    <w:rsid w:val="004A502E"/>
    <w:rPr>
      <w:rFonts w:ascii="Basic Sans" w:eastAsiaTheme="majorEastAsia" w:hAnsi="Basic Sans" w:cstheme="majorBidi"/>
      <w:color w:val="004663" w:themeColor="accent1" w:themeShade="BF"/>
      <w:sz w:val="26"/>
      <w:szCs w:val="26"/>
    </w:rPr>
  </w:style>
  <w:style w:type="paragraph" w:customStyle="1" w:styleId="Numberedparagraphs">
    <w:name w:val="Numbered paragraphs"/>
    <w:basedOn w:val="ListParagraph"/>
    <w:link w:val="NumberedparagraphsChar"/>
    <w:qFormat/>
    <w:rsid w:val="009C00EA"/>
    <w:pPr>
      <w:spacing w:line="276" w:lineRule="auto"/>
      <w:ind w:left="360" w:hanging="360"/>
      <w:contextualSpacing w:val="0"/>
    </w:pPr>
    <w:rPr>
      <w:rFonts w:ascii="Arial" w:hAnsi="Arial"/>
      <w:sz w:val="24"/>
    </w:rPr>
  </w:style>
  <w:style w:type="character" w:customStyle="1" w:styleId="NumberedparagraphsChar">
    <w:name w:val="Numbered paragraphs Char"/>
    <w:basedOn w:val="DefaultParagraphFont"/>
    <w:link w:val="Numberedparagraphs"/>
    <w:rsid w:val="009C00EA"/>
    <w:rPr>
      <w:rFonts w:ascii="Arial" w:hAnsi="Arial"/>
      <w:sz w:val="24"/>
    </w:rPr>
  </w:style>
  <w:style w:type="paragraph" w:styleId="ListParagraph">
    <w:name w:val="List Paragraph"/>
    <w:basedOn w:val="Normal"/>
    <w:uiPriority w:val="34"/>
    <w:qFormat/>
    <w:rsid w:val="009C00EA"/>
    <w:pPr>
      <w:ind w:left="720"/>
      <w:contextualSpacing/>
    </w:pPr>
  </w:style>
  <w:style w:type="paragraph" w:styleId="NormalWeb">
    <w:name w:val="Normal (Web)"/>
    <w:basedOn w:val="Normal"/>
    <w:uiPriority w:val="99"/>
    <w:semiHidden/>
    <w:unhideWhenUsed/>
    <w:rsid w:val="00923A3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923A3E"/>
    <w:rPr>
      <w:b/>
      <w:bCs/>
    </w:rPr>
  </w:style>
  <w:style w:type="paragraph" w:styleId="FootnoteText">
    <w:name w:val="footnote text"/>
    <w:basedOn w:val="Normal"/>
    <w:link w:val="FootnoteTextChar"/>
    <w:uiPriority w:val="99"/>
    <w:semiHidden/>
    <w:unhideWhenUsed/>
    <w:rsid w:val="005F3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F22"/>
    <w:rPr>
      <w:rFonts w:ascii="Basic Sans Light" w:hAnsi="Basic Sans Light"/>
      <w:sz w:val="20"/>
      <w:szCs w:val="20"/>
    </w:rPr>
  </w:style>
  <w:style w:type="character" w:styleId="FootnoteReference">
    <w:name w:val="footnote reference"/>
    <w:basedOn w:val="DefaultParagraphFont"/>
    <w:uiPriority w:val="99"/>
    <w:semiHidden/>
    <w:unhideWhenUsed/>
    <w:rsid w:val="005F3F22"/>
    <w:rPr>
      <w:vertAlign w:val="superscript"/>
    </w:rPr>
  </w:style>
  <w:style w:type="paragraph" w:styleId="Header">
    <w:name w:val="header"/>
    <w:basedOn w:val="Normal"/>
    <w:link w:val="HeaderChar"/>
    <w:uiPriority w:val="99"/>
    <w:unhideWhenUsed/>
    <w:rsid w:val="00597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0A0"/>
    <w:rPr>
      <w:rFonts w:ascii="Basic Sans Light" w:hAnsi="Basic Sans Light"/>
    </w:rPr>
  </w:style>
  <w:style w:type="paragraph" w:styleId="Footer">
    <w:name w:val="footer"/>
    <w:basedOn w:val="Normal"/>
    <w:link w:val="FooterChar"/>
    <w:uiPriority w:val="99"/>
    <w:unhideWhenUsed/>
    <w:rsid w:val="00597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0A0"/>
    <w:rPr>
      <w:rFonts w:ascii="Basic Sans Light" w:hAnsi="Basic Sans Light"/>
    </w:rPr>
  </w:style>
  <w:style w:type="paragraph" w:styleId="CommentText">
    <w:name w:val="annotation text"/>
    <w:basedOn w:val="Normal"/>
    <w:link w:val="CommentTextChar"/>
    <w:uiPriority w:val="99"/>
    <w:unhideWhenUsed/>
    <w:rsid w:val="005970A0"/>
    <w:pPr>
      <w:spacing w:line="240" w:lineRule="auto"/>
    </w:pPr>
    <w:rPr>
      <w:sz w:val="20"/>
      <w:szCs w:val="20"/>
    </w:rPr>
  </w:style>
  <w:style w:type="character" w:customStyle="1" w:styleId="CommentTextChar">
    <w:name w:val="Comment Text Char"/>
    <w:basedOn w:val="DefaultParagraphFont"/>
    <w:link w:val="CommentText"/>
    <w:uiPriority w:val="99"/>
    <w:rsid w:val="005970A0"/>
    <w:rPr>
      <w:rFonts w:ascii="Basic Sans Light" w:hAnsi="Basic Sans Light"/>
      <w:sz w:val="20"/>
      <w:szCs w:val="20"/>
    </w:rPr>
  </w:style>
  <w:style w:type="character" w:styleId="CommentReference">
    <w:name w:val="annotation reference"/>
    <w:basedOn w:val="DefaultParagraphFont"/>
    <w:uiPriority w:val="99"/>
    <w:semiHidden/>
    <w:unhideWhenUsed/>
    <w:rsid w:val="005970A0"/>
    <w:rPr>
      <w:sz w:val="16"/>
      <w:szCs w:val="16"/>
    </w:rPr>
  </w:style>
  <w:style w:type="character" w:customStyle="1" w:styleId="Heading5Char">
    <w:name w:val="Heading 5 Char"/>
    <w:basedOn w:val="DefaultParagraphFont"/>
    <w:link w:val="Heading5"/>
    <w:uiPriority w:val="9"/>
    <w:rsid w:val="002B7680"/>
    <w:rPr>
      <w:rFonts w:ascii="Times New Roman" w:eastAsia="Times New Roman" w:hAnsi="Times New Roman" w:cs="Times New Roman"/>
      <w:b/>
      <w:bCs/>
      <w:sz w:val="20"/>
      <w:szCs w:val="20"/>
      <w:lang w:eastAsia="en-NZ"/>
    </w:rPr>
  </w:style>
  <w:style w:type="paragraph" w:customStyle="1" w:styleId="text">
    <w:name w:val="text"/>
    <w:basedOn w:val="Normal"/>
    <w:rsid w:val="002B768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2B7680"/>
  </w:style>
  <w:style w:type="paragraph" w:styleId="CommentSubject">
    <w:name w:val="annotation subject"/>
    <w:basedOn w:val="CommentText"/>
    <w:next w:val="CommentText"/>
    <w:link w:val="CommentSubjectChar"/>
    <w:uiPriority w:val="99"/>
    <w:semiHidden/>
    <w:unhideWhenUsed/>
    <w:rsid w:val="00E262E2"/>
    <w:rPr>
      <w:b/>
      <w:bCs/>
    </w:rPr>
  </w:style>
  <w:style w:type="character" w:customStyle="1" w:styleId="CommentSubjectChar">
    <w:name w:val="Comment Subject Char"/>
    <w:basedOn w:val="CommentTextChar"/>
    <w:link w:val="CommentSubject"/>
    <w:uiPriority w:val="99"/>
    <w:semiHidden/>
    <w:rsid w:val="00E262E2"/>
    <w:rPr>
      <w:rFonts w:ascii="Basic Sans Light" w:hAnsi="Basic Sans Light"/>
      <w:b/>
      <w:bCs/>
      <w:sz w:val="20"/>
      <w:szCs w:val="20"/>
    </w:rPr>
  </w:style>
  <w:style w:type="character" w:styleId="Mention">
    <w:name w:val="Mention"/>
    <w:basedOn w:val="DefaultParagraphFont"/>
    <w:uiPriority w:val="99"/>
    <w:unhideWhenUsed/>
    <w:rsid w:val="00E262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6299">
      <w:bodyDiv w:val="1"/>
      <w:marLeft w:val="0"/>
      <w:marRight w:val="0"/>
      <w:marTop w:val="0"/>
      <w:marBottom w:val="0"/>
      <w:divBdr>
        <w:top w:val="none" w:sz="0" w:space="0" w:color="auto"/>
        <w:left w:val="none" w:sz="0" w:space="0" w:color="auto"/>
        <w:bottom w:val="none" w:sz="0" w:space="0" w:color="auto"/>
        <w:right w:val="none" w:sz="0" w:space="0" w:color="auto"/>
      </w:divBdr>
    </w:div>
    <w:div w:id="509107634">
      <w:bodyDiv w:val="1"/>
      <w:marLeft w:val="0"/>
      <w:marRight w:val="0"/>
      <w:marTop w:val="0"/>
      <w:marBottom w:val="0"/>
      <w:divBdr>
        <w:top w:val="none" w:sz="0" w:space="0" w:color="auto"/>
        <w:left w:val="none" w:sz="0" w:space="0" w:color="auto"/>
        <w:bottom w:val="none" w:sz="0" w:space="0" w:color="auto"/>
        <w:right w:val="none" w:sz="0" w:space="0" w:color="auto"/>
      </w:divBdr>
      <w:divsChild>
        <w:div w:id="51465179">
          <w:marLeft w:val="0"/>
          <w:marRight w:val="0"/>
          <w:marTop w:val="83"/>
          <w:marBottom w:val="0"/>
          <w:divBdr>
            <w:top w:val="none" w:sz="0" w:space="0" w:color="auto"/>
            <w:left w:val="none" w:sz="0" w:space="0" w:color="auto"/>
            <w:bottom w:val="none" w:sz="0" w:space="0" w:color="auto"/>
            <w:right w:val="none" w:sz="0" w:space="0" w:color="auto"/>
          </w:divBdr>
        </w:div>
        <w:div w:id="651056019">
          <w:marLeft w:val="0"/>
          <w:marRight w:val="0"/>
          <w:marTop w:val="83"/>
          <w:marBottom w:val="0"/>
          <w:divBdr>
            <w:top w:val="none" w:sz="0" w:space="0" w:color="auto"/>
            <w:left w:val="none" w:sz="0" w:space="0" w:color="auto"/>
            <w:bottom w:val="none" w:sz="0" w:space="0" w:color="auto"/>
            <w:right w:val="none" w:sz="0" w:space="0" w:color="auto"/>
          </w:divBdr>
        </w:div>
        <w:div w:id="680358996">
          <w:marLeft w:val="0"/>
          <w:marRight w:val="0"/>
          <w:marTop w:val="83"/>
          <w:marBottom w:val="0"/>
          <w:divBdr>
            <w:top w:val="none" w:sz="0" w:space="0" w:color="auto"/>
            <w:left w:val="none" w:sz="0" w:space="0" w:color="auto"/>
            <w:bottom w:val="none" w:sz="0" w:space="0" w:color="auto"/>
            <w:right w:val="none" w:sz="0" w:space="0" w:color="auto"/>
          </w:divBdr>
        </w:div>
        <w:div w:id="1106388809">
          <w:marLeft w:val="0"/>
          <w:marRight w:val="0"/>
          <w:marTop w:val="83"/>
          <w:marBottom w:val="0"/>
          <w:divBdr>
            <w:top w:val="none" w:sz="0" w:space="0" w:color="auto"/>
            <w:left w:val="none" w:sz="0" w:space="0" w:color="auto"/>
            <w:bottom w:val="none" w:sz="0" w:space="0" w:color="auto"/>
            <w:right w:val="none" w:sz="0" w:space="0" w:color="auto"/>
          </w:divBdr>
        </w:div>
        <w:div w:id="1261789836">
          <w:marLeft w:val="0"/>
          <w:marRight w:val="0"/>
          <w:marTop w:val="83"/>
          <w:marBottom w:val="0"/>
          <w:divBdr>
            <w:top w:val="none" w:sz="0" w:space="0" w:color="auto"/>
            <w:left w:val="none" w:sz="0" w:space="0" w:color="auto"/>
            <w:bottom w:val="none" w:sz="0" w:space="0" w:color="auto"/>
            <w:right w:val="none" w:sz="0" w:space="0" w:color="auto"/>
          </w:divBdr>
        </w:div>
        <w:div w:id="1512794200">
          <w:marLeft w:val="0"/>
          <w:marRight w:val="0"/>
          <w:marTop w:val="83"/>
          <w:marBottom w:val="0"/>
          <w:divBdr>
            <w:top w:val="none" w:sz="0" w:space="0" w:color="auto"/>
            <w:left w:val="none" w:sz="0" w:space="0" w:color="auto"/>
            <w:bottom w:val="none" w:sz="0" w:space="0" w:color="auto"/>
            <w:right w:val="none" w:sz="0" w:space="0" w:color="auto"/>
          </w:divBdr>
        </w:div>
        <w:div w:id="1605530872">
          <w:marLeft w:val="0"/>
          <w:marRight w:val="0"/>
          <w:marTop w:val="83"/>
          <w:marBottom w:val="0"/>
          <w:divBdr>
            <w:top w:val="none" w:sz="0" w:space="0" w:color="auto"/>
            <w:left w:val="none" w:sz="0" w:space="0" w:color="auto"/>
            <w:bottom w:val="none" w:sz="0" w:space="0" w:color="auto"/>
            <w:right w:val="none" w:sz="0" w:space="0" w:color="auto"/>
          </w:divBdr>
        </w:div>
      </w:divsChild>
    </w:div>
    <w:div w:id="1904875183">
      <w:bodyDiv w:val="1"/>
      <w:marLeft w:val="0"/>
      <w:marRight w:val="0"/>
      <w:marTop w:val="0"/>
      <w:marBottom w:val="0"/>
      <w:divBdr>
        <w:top w:val="none" w:sz="0" w:space="0" w:color="auto"/>
        <w:left w:val="none" w:sz="0" w:space="0" w:color="auto"/>
        <w:bottom w:val="none" w:sz="0" w:space="0" w:color="auto"/>
        <w:right w:val="none" w:sz="0" w:space="0" w:color="auto"/>
      </w:divBdr>
    </w:div>
    <w:div w:id="1955284411">
      <w:bodyDiv w:val="1"/>
      <w:marLeft w:val="0"/>
      <w:marRight w:val="0"/>
      <w:marTop w:val="0"/>
      <w:marBottom w:val="0"/>
      <w:divBdr>
        <w:top w:val="none" w:sz="0" w:space="0" w:color="auto"/>
        <w:left w:val="none" w:sz="0" w:space="0" w:color="auto"/>
        <w:bottom w:val="none" w:sz="0" w:space="0" w:color="auto"/>
        <w:right w:val="none" w:sz="0" w:space="0" w:color="auto"/>
      </w:divBdr>
    </w:div>
    <w:div w:id="21303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8A24193-0F52-4943-9441-73C367260D1B}">
    <t:Anchor>
      <t:Comment id="554827"/>
    </t:Anchor>
    <t:History>
      <t:Event id="{522B6B73-8666-4FA9-AF74-19549B2D5E73}" time="2023-01-20T00:46:27.105Z">
        <t:Attribution userId="S::matthew.bloomer@mhwc.govt.nz::03664365-be72-467d-bf98-91b6bb5f55a8" userProvider="AD" userName="Matthew Bloomer"/>
        <t:Anchor>
          <t:Comment id="661985715"/>
        </t:Anchor>
        <t:Create/>
      </t:Event>
      <t:Event id="{D4F9CFAD-CF0E-4842-AE82-6B01E1664ACA}" time="2023-01-20T00:46:27.105Z">
        <t:Attribution userId="S::matthew.bloomer@mhwc.govt.nz::03664365-be72-467d-bf98-91b6bb5f55a8" userProvider="AD" userName="Matthew Bloomer"/>
        <t:Anchor>
          <t:Comment id="661985715"/>
        </t:Anchor>
        <t:Assign userId="S::Alison.Schneller@mhwc.govt.nz::516f40e5-94b0-4f4b-bb29-444ed4fc8a35" userProvider="AD" userName="Alison Schneller"/>
      </t:Event>
      <t:Event id="{7019BD0F-28F4-40B9-BDE3-14168C51FE4E}" time="2023-01-20T00:46:27.105Z">
        <t:Attribution userId="S::matthew.bloomer@mhwc.govt.nz::03664365-be72-467d-bf98-91b6bb5f55a8" userProvider="AD" userName="Matthew Bloomer"/>
        <t:Anchor>
          <t:Comment id="661985715"/>
        </t:Anchor>
        <t:SetTitle title="Thanks @Alison for all these. I've made the changes, and rejigged the submission to make them work. Just wanted to confirm this MoJ position - do you have a source or specific wording I should use - I can't see it anywhere obvious"/>
      </t:Event>
      <t:Event id="{CC78997B-BD41-4226-B0A2-E41F41677FB1}" time="2023-01-22T06:24:17.104Z">
        <t:Attribution userId="S::matthew.bloomer@mhwc.govt.nz::03664365-be72-467d-bf98-91b6bb5f55a8" userProvider="AD" userName="Matthew Bloomer"/>
        <t:Progress percentComplete="100"/>
      </t:Event>
    </t:History>
  </t:Task>
</t:Tasks>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Flow_SignoffStatus xmlns="8bf7e8ff-a8a0-418f-885c-4c1fd8a20fae" xsi:nil="true"/>
    <_dlc_DocId xmlns="bd74e8db-9588-4046-9f22-b81f23249a13">DOCS-1037086819-106</_dlc_DocId>
    <_dlc_DocIdUrl xmlns="bd74e8db-9588-4046-9f22-b81f23249a13">
      <Url>https://mhwcnz.sharepoint.com/sites/wellbeing/_layouts/15/DocIdRedir.aspx?ID=DOCS-1037086819-106</Url>
      <Description>DOCS-1037086819-106</Description>
    </_dlc_DocIdUrl>
    <SharedWithUsers xmlns="bd74e8db-9588-4046-9f22-b81f23249a13">
      <UserInfo>
        <DisplayName>Matthew Bloomer</DisplayName>
        <AccountId>29</AccountId>
        <AccountType/>
      </UserInfo>
      <UserInfo>
        <DisplayName>Tanya Maloney</DisplayName>
        <AccountId>36</AccountId>
        <AccountType/>
      </UserInfo>
      <UserInfo>
        <DisplayName>Filipo Katavake-McGrath</DisplayName>
        <AccountId>58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8DF46DD684A6F348A55A599E6CD57283" ma:contentTypeVersion="18" ma:contentTypeDescription="MHWC document content type" ma:contentTypeScope="" ma:versionID="b7bbc22a8c44f140df74743baaef387a">
  <xsd:schema xmlns:xsd="http://www.w3.org/2001/XMLSchema" xmlns:xs="http://www.w3.org/2001/XMLSchema" xmlns:p="http://schemas.microsoft.com/office/2006/metadata/properties" xmlns:ns2="bd74e8db-9588-4046-9f22-b81f23249a13" xmlns:ns3="bb0bd7a6-c265-44d5-b39f-e5b415113992" xmlns:ns4="8bf7e8ff-a8a0-418f-885c-4c1fd8a20fae" targetNamespace="http://schemas.microsoft.com/office/2006/metadata/properties" ma:root="true" ma:fieldsID="fbc25a0718bfc2480d09dc291786005d" ns2:_="" ns3:_="" ns4:_="">
    <xsd:import namespace="bd74e8db-9588-4046-9f22-b81f23249a13"/>
    <xsd:import namespace="bb0bd7a6-c265-44d5-b39f-e5b415113992"/>
    <xsd:import namespace="8bf7e8ff-a8a0-418f-885c-4c1fd8a20fa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_Flow_SignoffStatu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bf7e8ff-a8a0-418f-885c-4c1fd8a20f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186AEC-1EB9-443D-B58C-52262B5914E9}">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bd74e8db-9588-4046-9f22-b81f23249a13"/>
    <ds:schemaRef ds:uri="http://schemas.openxmlformats.org/package/2006/metadata/core-properties"/>
    <ds:schemaRef ds:uri="8bf7e8ff-a8a0-418f-885c-4c1fd8a20fae"/>
    <ds:schemaRef ds:uri="bb0bd7a6-c265-44d5-b39f-e5b415113992"/>
    <ds:schemaRef ds:uri="http://purl.org/dc/elements/1.1/"/>
  </ds:schemaRefs>
</ds:datastoreItem>
</file>

<file path=customXml/itemProps2.xml><?xml version="1.0" encoding="utf-8"?>
<ds:datastoreItem xmlns:ds="http://schemas.openxmlformats.org/officeDocument/2006/customXml" ds:itemID="{225C3516-6A55-4E71-9D8C-8A3A542C6BA4}">
  <ds:schemaRefs>
    <ds:schemaRef ds:uri="http://schemas.openxmlformats.org/officeDocument/2006/bibliography"/>
  </ds:schemaRefs>
</ds:datastoreItem>
</file>

<file path=customXml/itemProps3.xml><?xml version="1.0" encoding="utf-8"?>
<ds:datastoreItem xmlns:ds="http://schemas.openxmlformats.org/officeDocument/2006/customXml" ds:itemID="{E309D523-8207-4FD8-BDC9-F0C0F2D56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8bf7e8ff-a8a0-418f-885c-4c1fd8a20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DE1CE-BAF0-4292-871D-FAF8D5FEC5AD}">
  <ds:schemaRefs>
    <ds:schemaRef ds:uri="http://schemas.microsoft.com/sharepoint/v3/contenttype/forms"/>
  </ds:schemaRefs>
</ds:datastoreItem>
</file>

<file path=customXml/itemProps5.xml><?xml version="1.0" encoding="utf-8"?>
<ds:datastoreItem xmlns:ds="http://schemas.openxmlformats.org/officeDocument/2006/customXml" ds:itemID="{CBBF84E0-6F74-4697-B444-A37FCCA968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6506</Characters>
  <Application>Microsoft Office Word</Application>
  <DocSecurity>10</DocSecurity>
  <Lines>107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Bloomer</dc:creator>
  <cp:keywords/>
  <dc:description/>
  <cp:lastModifiedBy>Bryanna Lingley</cp:lastModifiedBy>
  <cp:revision>3</cp:revision>
  <cp:lastPrinted>2023-02-10T17:15:00Z</cp:lastPrinted>
  <dcterms:created xsi:type="dcterms:W3CDTF">2023-02-09T23:01:00Z</dcterms:created>
  <dcterms:modified xsi:type="dcterms:W3CDTF">2023-02-09T23:02:00Z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0x010100EC715CFEA79834468078ACA06B4C38E4008DF46DD684A6F348A55A599E6CD57283</vt:lpwstr>
  </property>
  <property fmtid="{D5CDD505-2E9C-101B-9397-08002B2CF9AE}" pid="3" name="BusinessFunction">
    <vt:lpwstr/>
  </property>
  <property fmtid="{D5CDD505-2E9C-101B-9397-08002B2CF9AE}" pid="4" name="_dlc_DocIdItemGuid">
    <vt:lpwstr>7330bec4-7df1-4470-9795-6f54fc87de98</vt:lpwstr>
  </property>
  <property fmtid="{D5CDD505-2E9C-101B-9397-08002B2CF9AE}" pid="5" name="GrammarlyDocumentId">
    <vt:lpwstr>347a61d606a874fea54467b19af2c065ab3b9094f305a3fe35771813c8b349a9</vt:lpwstr>
  </property>
</Properties>
</file>